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AF" w:rsidRDefault="00A134AF" w:rsidP="00570927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b/>
          <w:noProof/>
          <w:color w:val="5B9BD5" w:themeColor="accent1"/>
          <w:sz w:val="44"/>
        </w:rPr>
        <w:drawing>
          <wp:anchor distT="0" distB="0" distL="114300" distR="114300" simplePos="0" relativeHeight="251659264" behindDoc="0" locked="0" layoutInCell="1" allowOverlap="1" wp14:anchorId="16D20D70" wp14:editId="135A3E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0640" cy="570814"/>
            <wp:effectExtent l="0" t="0" r="381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unit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4AF" w:rsidRDefault="00A134AF" w:rsidP="00570927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A134AF" w:rsidRDefault="00A134AF" w:rsidP="00570927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570927" w:rsidRDefault="00570927" w:rsidP="00570927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rFonts w:ascii="Century Gothic" w:hAnsi="Century Gothic"/>
          <w:b/>
          <w:bCs/>
          <w:sz w:val="32"/>
          <w:szCs w:val="32"/>
          <w:lang w:val="es-ES"/>
        </w:rPr>
        <w:t xml:space="preserve">BASES </w:t>
      </w:r>
    </w:p>
    <w:p w:rsidR="00570927" w:rsidRDefault="00570927" w:rsidP="00570927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rFonts w:ascii="Century Gothic" w:hAnsi="Century Gothic"/>
          <w:b/>
          <w:bCs/>
          <w:sz w:val="32"/>
          <w:szCs w:val="32"/>
          <w:lang w:val="es-ES"/>
        </w:rPr>
        <w:t>CARROS ALEGORICOS</w:t>
      </w:r>
    </w:p>
    <w:p w:rsidR="00A0137B" w:rsidRDefault="00A0137B" w:rsidP="00570927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570927" w:rsidRDefault="00570927" w:rsidP="00570927">
      <w:pPr>
        <w:jc w:val="center"/>
        <w:rPr>
          <w:rFonts w:ascii="Century Gothic" w:hAnsi="Century Gothic"/>
          <w:b/>
          <w:bCs/>
          <w:sz w:val="16"/>
          <w:szCs w:val="16"/>
          <w:lang w:val="es-ES"/>
        </w:rPr>
      </w:pPr>
    </w:p>
    <w:p w:rsidR="00570927" w:rsidRDefault="00570927" w:rsidP="00570927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rFonts w:ascii="Century Gothic" w:hAnsi="Century Gothic"/>
          <w:b/>
          <w:bCs/>
          <w:sz w:val="32"/>
          <w:szCs w:val="32"/>
          <w:lang w:val="es-ES"/>
        </w:rPr>
        <w:t>TITULO I</w:t>
      </w:r>
    </w:p>
    <w:p w:rsidR="00570927" w:rsidRDefault="00570927" w:rsidP="00A134AF">
      <w:pPr>
        <w:rPr>
          <w:rFonts w:ascii="Century Gothic" w:hAnsi="Century Gothic"/>
          <w:b/>
          <w:bCs/>
          <w:sz w:val="16"/>
          <w:szCs w:val="16"/>
          <w:lang w:val="es-ES"/>
        </w:rPr>
      </w:pPr>
    </w:p>
    <w:p w:rsidR="00570927" w:rsidRDefault="00A134AF" w:rsidP="00570927">
      <w:pPr>
        <w:spacing w:line="360" w:lineRule="auto"/>
        <w:rPr>
          <w:rFonts w:ascii="Century Gothic" w:hAnsi="Century Gothic"/>
          <w:b/>
          <w:bCs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De la convocatoria:</w:t>
      </w:r>
    </w:p>
    <w:p w:rsidR="00A134AF" w:rsidRDefault="00A134AF" w:rsidP="00570927">
      <w:pPr>
        <w:spacing w:line="360" w:lineRule="auto"/>
        <w:rPr>
          <w:rFonts w:ascii="Century Gothic" w:hAnsi="Century Gothic"/>
          <w:b/>
          <w:bCs/>
          <w:sz w:val="16"/>
          <w:szCs w:val="16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Art. Nº 1:</w:t>
      </w:r>
      <w:r>
        <w:rPr>
          <w:rFonts w:ascii="Century Gothic" w:hAnsi="Century Gothic"/>
          <w:lang w:val="es-ES"/>
        </w:rPr>
        <w:t xml:space="preserve"> La Ilustre Municipalidad de Melipilla invita a participar de la </w:t>
      </w:r>
      <w:r>
        <w:rPr>
          <w:rFonts w:ascii="Century Gothic" w:hAnsi="Century Gothic"/>
          <w:b/>
          <w:bCs/>
          <w:lang w:val="es-ES"/>
        </w:rPr>
        <w:t>“Fiesta de los Carros Alegóricos, Melipilla 2016”.</w:t>
      </w:r>
    </w:p>
    <w:p w:rsidR="00A134AF" w:rsidRDefault="00A134AF" w:rsidP="00A134AF">
      <w:pPr>
        <w:spacing w:line="360" w:lineRule="auto"/>
        <w:rPr>
          <w:rFonts w:ascii="Century Gothic" w:hAnsi="Century Gothic"/>
          <w:b/>
          <w:bCs/>
          <w:sz w:val="28"/>
          <w:szCs w:val="28"/>
          <w:lang w:val="es-ES"/>
        </w:rPr>
      </w:pPr>
    </w:p>
    <w:p w:rsidR="00A134AF" w:rsidRDefault="00A134AF" w:rsidP="00A134AF">
      <w:pPr>
        <w:spacing w:line="360" w:lineRule="auto"/>
        <w:rPr>
          <w:rFonts w:ascii="Century Gothic" w:hAnsi="Century Gothic"/>
          <w:b/>
          <w:bCs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De los Participantes: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sz w:val="16"/>
          <w:szCs w:val="16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 2: </w:t>
      </w:r>
      <w:r>
        <w:rPr>
          <w:rFonts w:ascii="Century Gothic" w:hAnsi="Century Gothic"/>
          <w:lang w:val="es-ES"/>
        </w:rPr>
        <w:t>Podrán participar en la actividad “Carros Alegóricos”, las Organizaciones que tengan personalidad jurídica vigente y que acrediten domicilio en la comuna de Melipilla, además de Colegios municipalizados, particulares y particulares subvencionados, universidades, institutos profesionales, centros de formación técnica, que cuenten con centro de padres y apoderados con personalidad jurídica vigente.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sz w:val="16"/>
          <w:szCs w:val="16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Art. Nº 3</w:t>
      </w:r>
      <w:r>
        <w:rPr>
          <w:rFonts w:ascii="Century Gothic" w:hAnsi="Century Gothic"/>
          <w:lang w:val="es-ES"/>
        </w:rPr>
        <w:t>: Existirá solo una categoría general en la competencia, la cual corresponderá a las Organizaciones señaladas en el artículo anterior.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sz w:val="16"/>
          <w:szCs w:val="16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Art. Nº 4</w:t>
      </w:r>
      <w:r>
        <w:rPr>
          <w:rFonts w:ascii="Century Gothic" w:hAnsi="Century Gothic"/>
          <w:lang w:val="es-ES"/>
        </w:rPr>
        <w:t>: El tema a representar en Los Carros Alegóricos deberá ser tema libre.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b/>
          <w:bCs/>
          <w:sz w:val="16"/>
          <w:szCs w:val="16"/>
          <w:lang w:val="es-ES"/>
        </w:rPr>
      </w:pPr>
    </w:p>
    <w:p w:rsidR="00A0137B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 5: </w:t>
      </w:r>
      <w:r>
        <w:rPr>
          <w:rFonts w:ascii="Century Gothic" w:hAnsi="Century Gothic"/>
          <w:lang w:val="es-ES"/>
        </w:rPr>
        <w:t>El Municipio de Melipilla entregará un aporte en subvención en dinero por un monto $250.000.- (Doscientos cincuenta mil pesos), para la confección del carro alegó</w:t>
      </w:r>
      <w:r w:rsidR="00A0137B">
        <w:rPr>
          <w:rFonts w:ascii="Century Gothic" w:hAnsi="Century Gothic"/>
          <w:lang w:val="es-ES"/>
        </w:rPr>
        <w:t xml:space="preserve">rico, </w:t>
      </w:r>
      <w:r>
        <w:rPr>
          <w:rFonts w:ascii="Century Gothic" w:hAnsi="Century Gothic"/>
          <w:lang w:val="es-ES"/>
        </w:rPr>
        <w:t xml:space="preserve">los cuales deberán ser rendidos al municipio </w:t>
      </w: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b/>
          <w:noProof/>
          <w:color w:val="5B9BD5" w:themeColor="accent1"/>
          <w:sz w:val="44"/>
        </w:rPr>
        <w:lastRenderedPageBreak/>
        <w:drawing>
          <wp:anchor distT="0" distB="0" distL="114300" distR="114300" simplePos="0" relativeHeight="251661312" behindDoc="0" locked="0" layoutInCell="1" allowOverlap="1" wp14:anchorId="0BA92722" wp14:editId="734EFAF2">
            <wp:simplePos x="0" y="0"/>
            <wp:positionH relativeFrom="margin">
              <wp:align>left</wp:align>
            </wp:positionH>
            <wp:positionV relativeFrom="paragraph">
              <wp:posOffset>-6824</wp:posOffset>
            </wp:positionV>
            <wp:extent cx="1310640" cy="570814"/>
            <wp:effectExtent l="0" t="0" r="381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unit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vía comprobantes de pagos: Boletas, facturas, etc. La subvención se entregará a los carros que se inscriban hasta el día 11 de octubre del presente año, posterior a la fecha podrán inscribirse sin subvención.</w:t>
      </w:r>
    </w:p>
    <w:p w:rsidR="008C3482" w:rsidRDefault="008C3482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 6: </w:t>
      </w:r>
      <w:r>
        <w:rPr>
          <w:rFonts w:ascii="Century Gothic" w:hAnsi="Century Gothic"/>
          <w:lang w:val="es-ES"/>
        </w:rPr>
        <w:t>No podrá participar en este evento de identidad local: personas, agrupaciones, entidades externas o foráneas a la comuna de Melipilla, lo que obligará a una descalificación para el sector que las integre en su presentación.</w:t>
      </w:r>
    </w:p>
    <w:p w:rsidR="00A134AF" w:rsidRDefault="00A134AF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 7: </w:t>
      </w:r>
      <w:r>
        <w:rPr>
          <w:rFonts w:ascii="Century Gothic" w:hAnsi="Century Gothic"/>
          <w:lang w:val="es-ES"/>
        </w:rPr>
        <w:t>Las agrupaciones que participen deberán tener presente: creatividad en el vestuario y escenografía del carro alegórico, esperando que en ambas se exprese un estándar de calidad, lo cual será parte de la evaluación.</w:t>
      </w:r>
    </w:p>
    <w:p w:rsidR="00A134AF" w:rsidRDefault="00A134AF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Art. Nº 8:</w:t>
      </w:r>
      <w:r>
        <w:rPr>
          <w:rFonts w:ascii="Century Gothic" w:hAnsi="Century Gothic"/>
          <w:lang w:val="es-ES"/>
        </w:rPr>
        <w:t xml:space="preserve"> Se tomará en cuenta en la evaluación y calificación de los participantes tales como: Calidad del carro alegórico, cantidad de personas que participen, cantidad de organizaciones participantes, vestuario, creatividad.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Art. Nº 9:</w:t>
      </w:r>
      <w:r>
        <w:rPr>
          <w:rFonts w:ascii="Century Gothic" w:hAnsi="Century Gothic"/>
          <w:lang w:val="es-ES"/>
        </w:rPr>
        <w:t xml:space="preserve"> </w:t>
      </w:r>
      <w:smartTag w:uri="urn:schemas-microsoft-com:office:smarttags" w:element="PersonName">
        <w:smartTagPr>
          <w:attr w:name="ProductID" w:val="La Ilustre Municipalidad"/>
        </w:smartTagPr>
        <w:smartTag w:uri="urn:schemas-microsoft-com:office:smarttags" w:element="PersonName">
          <w:smartTagPr>
            <w:attr w:name="ProductID" w:val="La Ilustre"/>
          </w:smartTagPr>
          <w:r>
            <w:rPr>
              <w:rFonts w:ascii="Century Gothic" w:hAnsi="Century Gothic"/>
              <w:lang w:val="es-ES"/>
            </w:rPr>
            <w:t>La Ilustre</w:t>
          </w:r>
        </w:smartTag>
        <w:r>
          <w:rPr>
            <w:rFonts w:ascii="Century Gothic" w:hAnsi="Century Gothic"/>
            <w:lang w:val="es-ES"/>
          </w:rPr>
          <w:t xml:space="preserve"> Municipalidad</w:t>
        </w:r>
      </w:smartTag>
      <w:r>
        <w:rPr>
          <w:rFonts w:ascii="Century Gothic" w:hAnsi="Century Gothic"/>
          <w:lang w:val="es-ES"/>
        </w:rPr>
        <w:t xml:space="preserve"> de Melipilla, no asumirá la responsabilidad sobre los préstamos que soliciten los grupos tales como: cajas, bombos, pitos y otros, la responsabilidad en este caso será exclusiva de cada organización participante.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A0137B" w:rsidRDefault="00A0137B" w:rsidP="0057092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A0137B" w:rsidRDefault="00A0137B" w:rsidP="0057092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b/>
          <w:noProof/>
          <w:color w:val="5B9BD5" w:themeColor="accent1"/>
          <w:sz w:val="44"/>
        </w:rPr>
        <w:lastRenderedPageBreak/>
        <w:drawing>
          <wp:anchor distT="0" distB="0" distL="114300" distR="114300" simplePos="0" relativeHeight="251663360" behindDoc="0" locked="0" layoutInCell="1" allowOverlap="1" wp14:anchorId="5DB1C8C3" wp14:editId="086FCCF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0640" cy="570814"/>
            <wp:effectExtent l="0" t="0" r="381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unit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37B" w:rsidRDefault="00A0137B" w:rsidP="0057092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570927" w:rsidRDefault="00570927" w:rsidP="0057092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rFonts w:ascii="Century Gothic" w:hAnsi="Century Gothic"/>
          <w:b/>
          <w:bCs/>
          <w:sz w:val="32"/>
          <w:szCs w:val="32"/>
          <w:lang w:val="es-ES"/>
        </w:rPr>
        <w:t>TITULO II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De los Premios: </w:t>
      </w: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 10: </w:t>
      </w:r>
      <w:r>
        <w:rPr>
          <w:rFonts w:ascii="Century Gothic" w:hAnsi="Century Gothic"/>
          <w:lang w:val="es-ES"/>
        </w:rPr>
        <w:t>Se entregará premios en forma individual, a las distintas organizaciones ganadoras de los carros alegóricos: cabe indicar que las organizaciones sociales con personalidad jurídica vigente e instituciones educacionales participaran en una misma categoría.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Art. Nº 11</w:t>
      </w:r>
      <w:r>
        <w:rPr>
          <w:rFonts w:ascii="Century Gothic" w:hAnsi="Century Gothic"/>
          <w:lang w:val="es-ES"/>
        </w:rPr>
        <w:t xml:space="preserve">: Los premios se </w:t>
      </w:r>
      <w:r w:rsidR="00557913">
        <w:rPr>
          <w:rFonts w:ascii="Century Gothic" w:hAnsi="Century Gothic"/>
          <w:lang w:val="es-ES"/>
        </w:rPr>
        <w:t>entregarán</w:t>
      </w:r>
      <w:r>
        <w:rPr>
          <w:rFonts w:ascii="Century Gothic" w:hAnsi="Century Gothic"/>
          <w:lang w:val="es-ES"/>
        </w:rPr>
        <w:t xml:space="preserve"> a cada organización, </w:t>
      </w:r>
      <w:r w:rsidR="00557913">
        <w:rPr>
          <w:rFonts w:ascii="Century Gothic" w:hAnsi="Century Gothic"/>
          <w:lang w:val="es-ES"/>
        </w:rPr>
        <w:t>en los siguientes lugares obtenidos y montos asignados:</w:t>
      </w:r>
      <w:r>
        <w:rPr>
          <w:rFonts w:ascii="Century Gothic" w:hAnsi="Century Gothic"/>
          <w:lang w:val="es-ES"/>
        </w:rPr>
        <w:t xml:space="preserve">  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                                                                                  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137B" w:rsidRPr="00A0137B" w:rsidTr="00A0137B">
        <w:tc>
          <w:tcPr>
            <w:tcW w:w="8828" w:type="dxa"/>
          </w:tcPr>
          <w:p w:rsidR="00A0137B" w:rsidRPr="00A0137B" w:rsidRDefault="00A0137B" w:rsidP="009E3A99">
            <w:pPr>
              <w:spacing w:line="360" w:lineRule="auto"/>
              <w:jc w:val="both"/>
              <w:rPr>
                <w:rFonts w:ascii="Century Gothic" w:hAnsi="Century Gothic"/>
                <w:b/>
                <w:lang w:val="es-ES"/>
              </w:rPr>
            </w:pPr>
            <w:r w:rsidRPr="00A0137B">
              <w:rPr>
                <w:rFonts w:ascii="Century Gothic" w:hAnsi="Century Gothic"/>
                <w:b/>
                <w:lang w:val="es-ES"/>
              </w:rPr>
              <w:t xml:space="preserve">1 er.  Lugar:             $ 1.300.000                          </w:t>
            </w:r>
          </w:p>
        </w:tc>
      </w:tr>
      <w:tr w:rsidR="00A0137B" w:rsidRPr="00A0137B" w:rsidTr="00A0137B">
        <w:tc>
          <w:tcPr>
            <w:tcW w:w="8828" w:type="dxa"/>
          </w:tcPr>
          <w:p w:rsidR="00A0137B" w:rsidRPr="00A0137B" w:rsidRDefault="00A0137B" w:rsidP="009E3A99">
            <w:pPr>
              <w:spacing w:line="360" w:lineRule="auto"/>
              <w:jc w:val="both"/>
              <w:rPr>
                <w:rFonts w:ascii="Century Gothic" w:hAnsi="Century Gothic"/>
                <w:b/>
                <w:lang w:val="es-ES"/>
              </w:rPr>
            </w:pPr>
            <w:r w:rsidRPr="00A0137B">
              <w:rPr>
                <w:rFonts w:ascii="Century Gothic" w:hAnsi="Century Gothic"/>
                <w:b/>
                <w:lang w:val="es-ES"/>
              </w:rPr>
              <w:t xml:space="preserve">2 do. Lugar:             $ 1.000.000                                 </w:t>
            </w:r>
          </w:p>
        </w:tc>
      </w:tr>
      <w:tr w:rsidR="00A0137B" w:rsidRPr="00A0137B" w:rsidTr="00A0137B">
        <w:tc>
          <w:tcPr>
            <w:tcW w:w="8828" w:type="dxa"/>
          </w:tcPr>
          <w:p w:rsidR="00A0137B" w:rsidRPr="00A0137B" w:rsidRDefault="00A0137B" w:rsidP="009E3A99">
            <w:pPr>
              <w:spacing w:line="360" w:lineRule="auto"/>
              <w:jc w:val="both"/>
              <w:rPr>
                <w:rFonts w:ascii="Century Gothic" w:hAnsi="Century Gothic"/>
                <w:b/>
                <w:lang w:val="es-ES"/>
              </w:rPr>
            </w:pPr>
            <w:r w:rsidRPr="00A0137B">
              <w:rPr>
                <w:rFonts w:ascii="Century Gothic" w:hAnsi="Century Gothic"/>
                <w:b/>
                <w:lang w:val="es-ES"/>
              </w:rPr>
              <w:t xml:space="preserve">3 er.  Lugar:                $ 700.000                          </w:t>
            </w:r>
          </w:p>
        </w:tc>
      </w:tr>
      <w:tr w:rsidR="00A0137B" w:rsidRPr="00A0137B" w:rsidTr="00A0137B">
        <w:tc>
          <w:tcPr>
            <w:tcW w:w="8828" w:type="dxa"/>
          </w:tcPr>
          <w:p w:rsidR="00A0137B" w:rsidRPr="00A0137B" w:rsidRDefault="00A0137B" w:rsidP="009E3A99">
            <w:pPr>
              <w:spacing w:line="360" w:lineRule="auto"/>
              <w:jc w:val="both"/>
              <w:rPr>
                <w:rFonts w:ascii="Century Gothic" w:hAnsi="Century Gothic"/>
                <w:b/>
                <w:lang w:val="es-ES"/>
              </w:rPr>
            </w:pPr>
            <w:r w:rsidRPr="00A0137B">
              <w:rPr>
                <w:rFonts w:ascii="Century Gothic" w:hAnsi="Century Gothic"/>
                <w:b/>
                <w:lang w:val="es-ES"/>
              </w:rPr>
              <w:t xml:space="preserve">4 to.  Lugar:                $ 500.000   </w:t>
            </w:r>
          </w:p>
        </w:tc>
      </w:tr>
      <w:tr w:rsidR="00A0137B" w:rsidRPr="00A0137B" w:rsidTr="00A0137B">
        <w:tc>
          <w:tcPr>
            <w:tcW w:w="8828" w:type="dxa"/>
          </w:tcPr>
          <w:p w:rsidR="00A0137B" w:rsidRPr="00A0137B" w:rsidRDefault="00A0137B" w:rsidP="009E3A99">
            <w:pPr>
              <w:spacing w:line="360" w:lineRule="auto"/>
              <w:jc w:val="both"/>
              <w:rPr>
                <w:rFonts w:ascii="Century Gothic" w:hAnsi="Century Gothic"/>
                <w:b/>
                <w:lang w:val="es-ES"/>
              </w:rPr>
            </w:pPr>
            <w:r w:rsidRPr="00A0137B">
              <w:rPr>
                <w:rFonts w:ascii="Century Gothic" w:hAnsi="Century Gothic"/>
                <w:b/>
                <w:lang w:val="es-ES"/>
              </w:rPr>
              <w:t xml:space="preserve">5 to. Lugar:                 $ 300.000   </w:t>
            </w:r>
          </w:p>
        </w:tc>
      </w:tr>
      <w:tr w:rsidR="00A0137B" w:rsidRPr="00A0137B" w:rsidTr="00A0137B">
        <w:tc>
          <w:tcPr>
            <w:tcW w:w="8828" w:type="dxa"/>
          </w:tcPr>
          <w:p w:rsidR="00A0137B" w:rsidRPr="00A0137B" w:rsidRDefault="00A0137B" w:rsidP="009E3A99">
            <w:pPr>
              <w:spacing w:line="360" w:lineRule="auto"/>
              <w:jc w:val="both"/>
              <w:rPr>
                <w:rFonts w:ascii="Century Gothic" w:hAnsi="Century Gothic"/>
                <w:b/>
                <w:lang w:val="es-ES"/>
              </w:rPr>
            </w:pPr>
            <w:r w:rsidRPr="00A0137B">
              <w:rPr>
                <w:rFonts w:ascii="Century Gothic" w:hAnsi="Century Gothic"/>
                <w:b/>
                <w:lang w:val="es-ES"/>
              </w:rPr>
              <w:t xml:space="preserve">6 to. Lugar:                 $ 200.000        </w:t>
            </w:r>
          </w:p>
        </w:tc>
      </w:tr>
    </w:tbl>
    <w:p w:rsidR="00A0137B" w:rsidRDefault="00A0137B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12: </w:t>
      </w:r>
      <w:r>
        <w:rPr>
          <w:rFonts w:ascii="Century Gothic" w:hAnsi="Century Gothic"/>
          <w:lang w:val="es-ES"/>
        </w:rPr>
        <w:t>La entrega de premios será otorgada mediante Decreto Alcaldicio</w:t>
      </w:r>
      <w:r w:rsidR="00557913">
        <w:rPr>
          <w:rFonts w:ascii="Century Gothic" w:hAnsi="Century Gothic"/>
          <w:lang w:val="es-ES"/>
        </w:rPr>
        <w:t>,</w:t>
      </w:r>
      <w:r>
        <w:rPr>
          <w:rFonts w:ascii="Century Gothic" w:hAnsi="Century Gothic"/>
          <w:lang w:val="es-ES"/>
        </w:rPr>
        <w:t xml:space="preserve"> en ceremonia pública, con presencia de autoridades e invitados, mediante cheque nominativo a nombre de la organización ganadora.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b/>
          <w:noProof/>
          <w:color w:val="5B9BD5" w:themeColor="accent1"/>
          <w:sz w:val="44"/>
        </w:rPr>
        <w:lastRenderedPageBreak/>
        <w:drawing>
          <wp:anchor distT="0" distB="0" distL="114300" distR="114300" simplePos="0" relativeHeight="251665408" behindDoc="0" locked="0" layoutInCell="1" allowOverlap="1" wp14:anchorId="26101A12" wp14:editId="52C4DE6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0640" cy="570814"/>
            <wp:effectExtent l="0" t="0" r="381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unit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37B" w:rsidRDefault="00A0137B" w:rsidP="0057092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</w:p>
    <w:p w:rsidR="00570927" w:rsidRDefault="00570927" w:rsidP="00570927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rFonts w:ascii="Century Gothic" w:hAnsi="Century Gothic"/>
          <w:b/>
          <w:bCs/>
          <w:sz w:val="32"/>
          <w:szCs w:val="32"/>
          <w:lang w:val="es-ES"/>
        </w:rPr>
        <w:t>TITULO III</w:t>
      </w:r>
    </w:p>
    <w:p w:rsidR="00570927" w:rsidRDefault="008C3482" w:rsidP="00570927">
      <w:pPr>
        <w:spacing w:line="360" w:lineRule="auto"/>
        <w:rPr>
          <w:rFonts w:ascii="Century Gothic" w:hAnsi="Century Gothic"/>
          <w:b/>
          <w:bCs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De</w:t>
      </w:r>
      <w:r w:rsidR="00570927">
        <w:rPr>
          <w:rFonts w:ascii="Century Gothic" w:hAnsi="Century Gothic"/>
          <w:b/>
          <w:bCs/>
          <w:sz w:val="28"/>
          <w:szCs w:val="28"/>
          <w:lang w:val="es-ES"/>
        </w:rPr>
        <w:t>l Jurado</w:t>
      </w: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 y la evaluación:</w:t>
      </w:r>
    </w:p>
    <w:p w:rsidR="00570927" w:rsidRDefault="00570927" w:rsidP="00570927">
      <w:p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 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Art. Nº 13:</w:t>
      </w:r>
      <w:r w:rsidR="00557913">
        <w:rPr>
          <w:rFonts w:ascii="Century Gothic" w:hAnsi="Century Gothic"/>
          <w:lang w:val="es-ES"/>
        </w:rPr>
        <w:t xml:space="preserve"> El jurado para el año 2016</w:t>
      </w:r>
      <w:r>
        <w:rPr>
          <w:rFonts w:ascii="Century Gothic" w:hAnsi="Century Gothic"/>
          <w:lang w:val="es-ES"/>
        </w:rPr>
        <w:t xml:space="preserve">, estará compuesto por </w:t>
      </w:r>
      <w:r w:rsidR="00BA79F4">
        <w:rPr>
          <w:rFonts w:ascii="Century Gothic" w:hAnsi="Century Gothic"/>
          <w:lang w:val="es-ES"/>
        </w:rPr>
        <w:t>5 integrantes</w:t>
      </w:r>
      <w:r>
        <w:rPr>
          <w:rFonts w:ascii="Century Gothic" w:hAnsi="Century Gothic"/>
          <w:lang w:val="es-ES"/>
        </w:rPr>
        <w:t xml:space="preserve">: </w:t>
      </w:r>
    </w:p>
    <w:p w:rsidR="00570927" w:rsidRDefault="00557913" w:rsidP="00570927">
      <w:pPr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/>
          <w:lang w:val="es-ES"/>
        </w:rPr>
      </w:pPr>
      <w:r>
        <w:rPr>
          <w:rFonts w:ascii="Century Gothic" w:eastAsia="Times New Roman" w:hAnsi="Century Gothic"/>
          <w:lang w:val="es-ES"/>
        </w:rPr>
        <w:t xml:space="preserve">1 representante </w:t>
      </w:r>
      <w:r w:rsidR="00570927">
        <w:rPr>
          <w:rFonts w:ascii="Century Gothic" w:eastAsia="Times New Roman" w:hAnsi="Century Gothic"/>
          <w:lang w:val="es-ES"/>
        </w:rPr>
        <w:t>Medios de Comunicación Comunal</w:t>
      </w:r>
      <w:r>
        <w:rPr>
          <w:rFonts w:ascii="Century Gothic" w:eastAsia="Times New Roman" w:hAnsi="Century Gothic"/>
          <w:lang w:val="es-ES"/>
        </w:rPr>
        <w:t>.</w:t>
      </w:r>
    </w:p>
    <w:p w:rsidR="00570927" w:rsidRDefault="00557913" w:rsidP="00570927">
      <w:pPr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/>
          <w:lang w:val="es-ES"/>
        </w:rPr>
      </w:pPr>
      <w:r>
        <w:rPr>
          <w:rFonts w:ascii="Century Gothic" w:eastAsia="Times New Roman" w:hAnsi="Century Gothic"/>
          <w:lang w:val="es-ES"/>
        </w:rPr>
        <w:t xml:space="preserve">1 </w:t>
      </w:r>
      <w:r w:rsidR="00570927">
        <w:rPr>
          <w:rFonts w:ascii="Century Gothic" w:eastAsia="Times New Roman" w:hAnsi="Century Gothic"/>
          <w:lang w:val="es-ES"/>
        </w:rPr>
        <w:t xml:space="preserve">Representante del Municipio de Melipilla Dpto. Jurídico </w:t>
      </w:r>
    </w:p>
    <w:p w:rsidR="00570927" w:rsidRDefault="00570927" w:rsidP="00570927">
      <w:pPr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/>
          <w:lang w:val="es-ES"/>
        </w:rPr>
      </w:pPr>
      <w:r>
        <w:rPr>
          <w:rFonts w:ascii="Century Gothic" w:eastAsia="Times New Roman" w:hAnsi="Century Gothic"/>
          <w:lang w:val="es-ES"/>
        </w:rPr>
        <w:t>Conce</w:t>
      </w:r>
      <w:r w:rsidR="00A134AF">
        <w:rPr>
          <w:rFonts w:ascii="Century Gothic" w:eastAsia="Times New Roman" w:hAnsi="Century Gothic"/>
          <w:lang w:val="es-ES"/>
        </w:rPr>
        <w:t>jal Presidente Comisión Cultura</w:t>
      </w:r>
    </w:p>
    <w:p w:rsidR="00570927" w:rsidRDefault="00BA79F4" w:rsidP="00570927">
      <w:pPr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/>
          <w:lang w:val="es-ES"/>
        </w:rPr>
      </w:pPr>
      <w:r>
        <w:rPr>
          <w:rFonts w:ascii="Century Gothic" w:eastAsia="Times New Roman" w:hAnsi="Century Gothic"/>
          <w:lang w:val="es-ES"/>
        </w:rPr>
        <w:t>Encargado de cultura y Director</w:t>
      </w:r>
      <w:r w:rsidR="00557913">
        <w:rPr>
          <w:rFonts w:ascii="Century Gothic" w:eastAsia="Times New Roman" w:hAnsi="Century Gothic"/>
          <w:lang w:val="es-ES"/>
        </w:rPr>
        <w:t xml:space="preserve"> </w:t>
      </w:r>
      <w:r>
        <w:rPr>
          <w:rFonts w:ascii="Century Gothic" w:eastAsia="Times New Roman" w:hAnsi="Century Gothic"/>
          <w:lang w:val="es-ES"/>
        </w:rPr>
        <w:t>T</w:t>
      </w:r>
      <w:r w:rsidR="00557913">
        <w:rPr>
          <w:rFonts w:ascii="Century Gothic" w:eastAsia="Times New Roman" w:hAnsi="Century Gothic"/>
          <w:lang w:val="es-ES"/>
        </w:rPr>
        <w:t>eatro Serrano</w:t>
      </w:r>
      <w:r w:rsidR="00570927">
        <w:rPr>
          <w:rFonts w:ascii="Century Gothic" w:eastAsia="Times New Roman" w:hAnsi="Century Gothic"/>
          <w:lang w:val="es-ES"/>
        </w:rPr>
        <w:t>.</w:t>
      </w:r>
    </w:p>
    <w:p w:rsidR="00570927" w:rsidRPr="00BA79F4" w:rsidRDefault="00557913" w:rsidP="00566D3A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lang w:val="es-ES"/>
        </w:rPr>
      </w:pPr>
      <w:r>
        <w:rPr>
          <w:rFonts w:ascii="Century Gothic" w:eastAsia="Times New Roman" w:hAnsi="Century Gothic"/>
          <w:lang w:val="es-ES"/>
        </w:rPr>
        <w:t xml:space="preserve">1 </w:t>
      </w:r>
      <w:r w:rsidR="00570927" w:rsidRPr="00557913">
        <w:rPr>
          <w:rFonts w:ascii="Century Gothic" w:eastAsia="Times New Roman" w:hAnsi="Century Gothic"/>
          <w:lang w:val="es-ES"/>
        </w:rPr>
        <w:t xml:space="preserve">Representante de </w:t>
      </w:r>
      <w:r>
        <w:rPr>
          <w:rFonts w:ascii="Century Gothic" w:eastAsia="Times New Roman" w:hAnsi="Century Gothic"/>
          <w:lang w:val="es-ES"/>
        </w:rPr>
        <w:t xml:space="preserve">la Corporación de </w:t>
      </w:r>
      <w:r w:rsidR="00BA79F4">
        <w:rPr>
          <w:rFonts w:ascii="Century Gothic" w:eastAsia="Times New Roman" w:hAnsi="Century Gothic"/>
          <w:lang w:val="es-ES"/>
        </w:rPr>
        <w:t>Educación</w:t>
      </w:r>
      <w:r>
        <w:rPr>
          <w:rFonts w:ascii="Century Gothic" w:eastAsia="Times New Roman" w:hAnsi="Century Gothic"/>
          <w:lang w:val="es-ES"/>
        </w:rPr>
        <w:t xml:space="preserve">. </w:t>
      </w:r>
    </w:p>
    <w:p w:rsidR="00A0137B" w:rsidRDefault="00A0137B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 14: </w:t>
      </w:r>
      <w:r w:rsidR="00071B37">
        <w:rPr>
          <w:rFonts w:ascii="Century Gothic" w:hAnsi="Century Gothic"/>
          <w:lang w:val="es-ES"/>
        </w:rPr>
        <w:t xml:space="preserve">El jurado evaluara </w:t>
      </w:r>
      <w:r w:rsidR="008C3482">
        <w:rPr>
          <w:rFonts w:ascii="Century Gothic" w:hAnsi="Century Gothic"/>
          <w:lang w:val="es-ES"/>
        </w:rPr>
        <w:t xml:space="preserve">y calificara </w:t>
      </w:r>
      <w:r>
        <w:rPr>
          <w:rFonts w:ascii="Century Gothic" w:hAnsi="Century Gothic"/>
          <w:lang w:val="es-ES"/>
        </w:rPr>
        <w:t>de acu</w:t>
      </w:r>
      <w:r w:rsidR="001448AA">
        <w:rPr>
          <w:rFonts w:ascii="Century Gothic" w:hAnsi="Century Gothic"/>
          <w:lang w:val="es-ES"/>
        </w:rPr>
        <w:t xml:space="preserve">erdo a los siguientes conceptos, descritos en la pauta </w:t>
      </w:r>
      <w:r w:rsidR="00091D39">
        <w:rPr>
          <w:rFonts w:ascii="Century Gothic" w:hAnsi="Century Gothic"/>
          <w:lang w:val="es-ES"/>
        </w:rPr>
        <w:t xml:space="preserve">que se </w:t>
      </w:r>
      <w:r w:rsidR="001448AA">
        <w:rPr>
          <w:rFonts w:ascii="Century Gothic" w:hAnsi="Century Gothic"/>
          <w:lang w:val="es-ES"/>
        </w:rPr>
        <w:t>adjunta:</w:t>
      </w: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 15: </w:t>
      </w:r>
      <w:r>
        <w:rPr>
          <w:rFonts w:ascii="Century Gothic" w:hAnsi="Century Gothic"/>
          <w:lang w:val="es-ES"/>
        </w:rPr>
        <w:t>Se entenderá que los participantes conocen y aceptan las normas del presente reglamento, por el solo hecho de postular al concurso.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0E4D8D" w:rsidRPr="000E4D8D" w:rsidRDefault="000E4D8D" w:rsidP="00570927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lang w:val="es-ES"/>
        </w:rPr>
      </w:pPr>
      <w:r w:rsidRPr="000E4D8D">
        <w:rPr>
          <w:rFonts w:ascii="Century Gothic" w:hAnsi="Century Gothic"/>
          <w:b/>
          <w:bCs/>
          <w:sz w:val="28"/>
          <w:szCs w:val="28"/>
          <w:lang w:val="es-ES"/>
        </w:rPr>
        <w:t>Del comportamiento y exigencias en la presentación</w:t>
      </w:r>
      <w:r>
        <w:rPr>
          <w:rFonts w:ascii="Century Gothic" w:hAnsi="Century Gothic"/>
          <w:b/>
          <w:bCs/>
          <w:sz w:val="28"/>
          <w:szCs w:val="28"/>
          <w:lang w:val="es-ES"/>
        </w:rPr>
        <w:t>:</w:t>
      </w:r>
    </w:p>
    <w:p w:rsidR="000E4D8D" w:rsidRDefault="000E4D8D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 16: </w:t>
      </w:r>
      <w:r w:rsidR="00091D39">
        <w:rPr>
          <w:rFonts w:ascii="Century Gothic" w:hAnsi="Century Gothic"/>
          <w:lang w:val="es-ES"/>
        </w:rPr>
        <w:t>Durante la presentación</w:t>
      </w:r>
      <w:r>
        <w:rPr>
          <w:rFonts w:ascii="Century Gothic" w:hAnsi="Century Gothic"/>
          <w:lang w:val="es-ES"/>
        </w:rPr>
        <w:t xml:space="preserve"> de carros alegóricos, cada agrupación velara por el buen comportamiento</w:t>
      </w:r>
      <w:r w:rsidR="00BA79F4">
        <w:rPr>
          <w:rFonts w:ascii="Century Gothic" w:hAnsi="Century Gothic"/>
          <w:lang w:val="es-ES"/>
        </w:rPr>
        <w:t xml:space="preserve"> de sus integrantes y que no existan</w:t>
      </w:r>
      <w:r>
        <w:rPr>
          <w:rFonts w:ascii="Century Gothic" w:hAnsi="Century Gothic"/>
          <w:lang w:val="es-ES"/>
        </w:rPr>
        <w:t xml:space="preserve"> actitudes que atenten a</w:t>
      </w:r>
      <w:r w:rsidR="00BA79F4">
        <w:rPr>
          <w:rFonts w:ascii="Century Gothic" w:hAnsi="Century Gothic"/>
          <w:lang w:val="es-ES"/>
        </w:rPr>
        <w:t>l normal desarrollo de la actividad.</w:t>
      </w:r>
    </w:p>
    <w:p w:rsidR="00091D39" w:rsidRDefault="00091D39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091D39" w:rsidRDefault="00091D39" w:rsidP="00091D39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Art. Nº 17: </w:t>
      </w:r>
      <w:r>
        <w:rPr>
          <w:rFonts w:ascii="Century Gothic" w:hAnsi="Century Gothic"/>
          <w:lang w:val="es-ES"/>
        </w:rPr>
        <w:t>Durante la presentación de carros alegóricos, la organización municipal velara por que los carros</w:t>
      </w:r>
      <w:r w:rsidR="00071B37">
        <w:rPr>
          <w:rFonts w:ascii="Century Gothic" w:hAnsi="Century Gothic"/>
          <w:lang w:val="es-ES"/>
        </w:rPr>
        <w:t>,</w:t>
      </w:r>
      <w:r>
        <w:rPr>
          <w:rFonts w:ascii="Century Gothic" w:hAnsi="Century Gothic"/>
          <w:lang w:val="es-ES"/>
        </w:rPr>
        <w:t xml:space="preserve"> no presenten motivos negativos u ofensivos que atenten al espíritu de fiesta en el desarrollo de la actividad.</w:t>
      </w:r>
      <w:r w:rsidR="00071B37">
        <w:rPr>
          <w:rFonts w:ascii="Century Gothic" w:hAnsi="Century Gothic"/>
          <w:lang w:val="es-ES"/>
        </w:rPr>
        <w:t xml:space="preserve"> 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091D39" w:rsidRDefault="00091D39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  <w:r>
        <w:rPr>
          <w:b/>
          <w:noProof/>
          <w:color w:val="5B9BD5" w:themeColor="accent1"/>
          <w:sz w:val="44"/>
        </w:rPr>
        <w:lastRenderedPageBreak/>
        <w:drawing>
          <wp:anchor distT="0" distB="0" distL="114300" distR="114300" simplePos="0" relativeHeight="251671552" behindDoc="0" locked="0" layoutInCell="1" allowOverlap="1" wp14:anchorId="4561E25D" wp14:editId="5735DB91">
            <wp:simplePos x="0" y="0"/>
            <wp:positionH relativeFrom="margin">
              <wp:posOffset>-143302</wp:posOffset>
            </wp:positionH>
            <wp:positionV relativeFrom="paragraph">
              <wp:posOffset>-6312</wp:posOffset>
            </wp:positionV>
            <wp:extent cx="1310640" cy="570814"/>
            <wp:effectExtent l="0" t="0" r="381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unit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D39" w:rsidRDefault="00091D39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091D39" w:rsidRDefault="00091D39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071B37" w:rsidRDefault="00071B37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bookmarkStart w:id="0" w:name="_GoBack"/>
      <w:bookmarkEnd w:id="0"/>
      <w:r>
        <w:rPr>
          <w:rFonts w:ascii="Century Gothic" w:hAnsi="Century Gothic"/>
          <w:b/>
          <w:bCs/>
          <w:lang w:val="es-ES"/>
        </w:rPr>
        <w:t>Art. Nº   1</w:t>
      </w:r>
      <w:r w:rsidR="00091D39">
        <w:rPr>
          <w:rFonts w:ascii="Century Gothic" w:hAnsi="Century Gothic"/>
          <w:b/>
          <w:bCs/>
          <w:lang w:val="es-ES"/>
        </w:rPr>
        <w:t>8</w:t>
      </w:r>
      <w:r>
        <w:rPr>
          <w:rFonts w:ascii="Century Gothic" w:hAnsi="Century Gothic"/>
          <w:b/>
          <w:bCs/>
          <w:lang w:val="es-ES"/>
        </w:rPr>
        <w:t xml:space="preserve">: </w:t>
      </w:r>
      <w:r>
        <w:rPr>
          <w:rFonts w:ascii="Century Gothic" w:hAnsi="Century Gothic"/>
          <w:lang w:val="es-ES"/>
        </w:rPr>
        <w:t>Cada carro alegórico debe contar con una candidata a rein</w:t>
      </w:r>
      <w:r w:rsidR="00634571">
        <w:rPr>
          <w:rFonts w:ascii="Century Gothic" w:hAnsi="Century Gothic"/>
          <w:lang w:val="es-ES"/>
        </w:rPr>
        <w:t>a de aniversario Melipilla</w:t>
      </w:r>
      <w:r w:rsidR="00BA79F4">
        <w:rPr>
          <w:rFonts w:ascii="Century Gothic" w:hAnsi="Century Gothic"/>
          <w:lang w:val="es-ES"/>
        </w:rPr>
        <w:t xml:space="preserve"> 2016</w:t>
      </w:r>
      <w:r>
        <w:rPr>
          <w:rFonts w:ascii="Century Gothic" w:hAnsi="Century Gothic"/>
          <w:lang w:val="es-ES"/>
        </w:rPr>
        <w:t>.</w:t>
      </w:r>
      <w:r w:rsidR="00634571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El ganador del primer lugar de los carros obtendrá la reina ganadora d</w:t>
      </w:r>
      <w:r w:rsidR="00BA79F4">
        <w:rPr>
          <w:rFonts w:ascii="Century Gothic" w:hAnsi="Century Gothic"/>
          <w:lang w:val="es-ES"/>
        </w:rPr>
        <w:t>el aniversario de Melipilla 2016</w:t>
      </w:r>
      <w:r>
        <w:rPr>
          <w:rFonts w:ascii="Century Gothic" w:hAnsi="Century Gothic"/>
          <w:lang w:val="es-ES"/>
        </w:rPr>
        <w:t xml:space="preserve">. La cual será </w:t>
      </w:r>
      <w:r w:rsidR="00091D39">
        <w:rPr>
          <w:rFonts w:ascii="Century Gothic" w:hAnsi="Century Gothic"/>
          <w:lang w:val="es-ES"/>
        </w:rPr>
        <w:t>co</w:t>
      </w:r>
      <w:r>
        <w:rPr>
          <w:rFonts w:ascii="Century Gothic" w:hAnsi="Century Gothic"/>
          <w:lang w:val="es-ES"/>
        </w:rPr>
        <w:t>ronada</w:t>
      </w:r>
      <w:r w:rsidR="00634571">
        <w:rPr>
          <w:rFonts w:ascii="Century Gothic" w:hAnsi="Century Gothic"/>
          <w:lang w:val="es-ES"/>
        </w:rPr>
        <w:t xml:space="preserve"> en la ceremonia de entrega de premios</w:t>
      </w:r>
      <w:r w:rsidR="00BA79F4">
        <w:rPr>
          <w:rFonts w:ascii="Century Gothic" w:hAnsi="Century Gothic"/>
          <w:lang w:val="es-ES"/>
        </w:rPr>
        <w:t xml:space="preserve">, en </w:t>
      </w:r>
      <w:r w:rsidR="00634571">
        <w:rPr>
          <w:rFonts w:ascii="Century Gothic" w:hAnsi="Century Gothic"/>
          <w:lang w:val="es-ES"/>
        </w:rPr>
        <w:t>actividad de cierre del día en Plaza de Armas.</w:t>
      </w: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9E1D15" w:rsidRPr="009E1D15" w:rsidRDefault="009E1D15" w:rsidP="00570927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lang w:val="es-ES"/>
        </w:rPr>
      </w:pPr>
      <w:r w:rsidRPr="009E1D15">
        <w:rPr>
          <w:rFonts w:ascii="Century Gothic" w:hAnsi="Century Gothic"/>
          <w:b/>
          <w:bCs/>
          <w:sz w:val="28"/>
          <w:szCs w:val="28"/>
          <w:lang w:val="es-ES"/>
        </w:rPr>
        <w:t>De la Información:</w:t>
      </w:r>
    </w:p>
    <w:p w:rsidR="009E1D15" w:rsidRDefault="009E1D15" w:rsidP="009E1D15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091D39" w:rsidRDefault="00091D39" w:rsidP="009E1D15">
      <w:pPr>
        <w:spacing w:line="360" w:lineRule="auto"/>
        <w:jc w:val="both"/>
        <w:rPr>
          <w:rFonts w:ascii="Century Gothic" w:hAnsi="Century Gothic"/>
          <w:b/>
          <w:bCs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Retiro de bases</w:t>
      </w:r>
      <w:r>
        <w:rPr>
          <w:rFonts w:ascii="Century Gothic" w:hAnsi="Century Gothic"/>
          <w:lang w:val="es-ES"/>
        </w:rPr>
        <w:t>:        </w:t>
      </w:r>
      <w:r w:rsidR="009E1D15">
        <w:rPr>
          <w:rFonts w:ascii="Century Gothic" w:hAnsi="Century Gothic"/>
          <w:lang w:val="es-ES"/>
        </w:rPr>
        <w:t>                 </w:t>
      </w:r>
      <w:r>
        <w:rPr>
          <w:rFonts w:ascii="Century Gothic" w:hAnsi="Century Gothic"/>
          <w:lang w:val="es-ES"/>
        </w:rPr>
        <w:t xml:space="preserve"> </w:t>
      </w:r>
      <w:r w:rsidR="009E1D15">
        <w:rPr>
          <w:rFonts w:ascii="Century Gothic" w:hAnsi="Century Gothic"/>
          <w:lang w:val="es-ES"/>
        </w:rPr>
        <w:tab/>
      </w:r>
      <w:r w:rsidR="00634571">
        <w:rPr>
          <w:rFonts w:ascii="Century Gothic" w:hAnsi="Century Gothic"/>
          <w:lang w:val="es-ES"/>
        </w:rPr>
        <w:t xml:space="preserve">Desde </w:t>
      </w:r>
      <w:r w:rsidR="009E1D15">
        <w:rPr>
          <w:rFonts w:ascii="Century Gothic" w:hAnsi="Century Gothic"/>
          <w:lang w:val="es-ES"/>
        </w:rPr>
        <w:t xml:space="preserve">04 al 07 de </w:t>
      </w:r>
      <w:r w:rsidR="00511B15">
        <w:rPr>
          <w:rFonts w:ascii="Century Gothic" w:hAnsi="Century Gothic"/>
          <w:lang w:val="es-ES"/>
        </w:rPr>
        <w:t>octubre</w:t>
      </w:r>
      <w:r w:rsidR="009E1D15">
        <w:rPr>
          <w:rFonts w:ascii="Century Gothic" w:hAnsi="Century Gothic"/>
          <w:lang w:val="es-ES"/>
        </w:rPr>
        <w:t xml:space="preserve"> </w:t>
      </w:r>
      <w:r w:rsidR="00634571">
        <w:rPr>
          <w:rFonts w:ascii="Century Gothic" w:hAnsi="Century Gothic"/>
          <w:lang w:val="es-ES"/>
        </w:rPr>
        <w:t>de 2016</w:t>
      </w:r>
      <w:r>
        <w:rPr>
          <w:rFonts w:ascii="Century Gothic" w:hAnsi="Century Gothic"/>
          <w:lang w:val="es-ES"/>
        </w:rPr>
        <w:t>.-</w:t>
      </w:r>
    </w:p>
    <w:p w:rsidR="009E1D15" w:rsidRDefault="009E1D15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570927" w:rsidRDefault="00570927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Inscripciones de Presentación</w:t>
      </w:r>
      <w:r>
        <w:rPr>
          <w:rFonts w:ascii="Century Gothic" w:hAnsi="Century Gothic"/>
          <w:lang w:val="es-ES"/>
        </w:rPr>
        <w:t xml:space="preserve">: </w:t>
      </w:r>
      <w:r w:rsidR="009E1D15">
        <w:rPr>
          <w:rFonts w:ascii="Century Gothic" w:hAnsi="Century Gothic"/>
          <w:lang w:val="es-ES"/>
        </w:rPr>
        <w:tab/>
      </w:r>
      <w:r w:rsidR="00511B15">
        <w:rPr>
          <w:rFonts w:ascii="Century Gothic" w:hAnsi="Century Gothic"/>
          <w:lang w:val="es-ES"/>
        </w:rPr>
        <w:t>miércoles</w:t>
      </w:r>
      <w:r w:rsidR="009E1D15">
        <w:rPr>
          <w:rFonts w:ascii="Century Gothic" w:hAnsi="Century Gothic"/>
          <w:lang w:val="es-ES"/>
        </w:rPr>
        <w:t xml:space="preserve"> 12 </w:t>
      </w:r>
      <w:r>
        <w:rPr>
          <w:rFonts w:ascii="Century Gothic" w:hAnsi="Century Gothic"/>
          <w:lang w:val="es-ES"/>
        </w:rPr>
        <w:t xml:space="preserve">de octubre </w:t>
      </w:r>
      <w:r w:rsidR="009E1D15">
        <w:rPr>
          <w:rFonts w:ascii="Century Gothic" w:hAnsi="Century Gothic"/>
          <w:lang w:val="es-ES"/>
        </w:rPr>
        <w:t>201</w:t>
      </w:r>
      <w:r w:rsidR="008D3D9E">
        <w:rPr>
          <w:rFonts w:ascii="Century Gothic" w:hAnsi="Century Gothic"/>
          <w:lang w:val="es-ES"/>
        </w:rPr>
        <w:t>6</w:t>
      </w:r>
      <w:r w:rsidR="009E1D15">
        <w:rPr>
          <w:rFonts w:ascii="Century Gothic" w:hAnsi="Century Gothic"/>
          <w:lang w:val="es-ES"/>
        </w:rPr>
        <w:t>, 17:00.</w:t>
      </w:r>
    </w:p>
    <w:p w:rsidR="009E1D15" w:rsidRDefault="009E1D15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9E1D15" w:rsidRDefault="009E1D15" w:rsidP="009E1D15">
      <w:pPr>
        <w:spacing w:line="360" w:lineRule="auto"/>
        <w:jc w:val="both"/>
        <w:rPr>
          <w:rFonts w:ascii="Century Gothic" w:eastAsia="Times New Roman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Realización de actividad:</w:t>
      </w:r>
      <w:r>
        <w:rPr>
          <w:rFonts w:ascii="Century Gothic" w:hAnsi="Century Gothic"/>
          <w:b/>
          <w:bCs/>
          <w:lang w:val="es-ES"/>
        </w:rPr>
        <w:tab/>
      </w:r>
      <w:r>
        <w:rPr>
          <w:rFonts w:ascii="Century Gothic" w:hAnsi="Century Gothic"/>
          <w:b/>
          <w:bCs/>
          <w:lang w:val="es-ES"/>
        </w:rPr>
        <w:tab/>
      </w:r>
      <w:r>
        <w:rPr>
          <w:rFonts w:ascii="Century Gothic" w:eastAsia="Times New Roman" w:hAnsi="Century Gothic"/>
          <w:b/>
          <w:bCs/>
          <w:lang w:val="es-ES"/>
        </w:rPr>
        <w:t>Presentación</w:t>
      </w:r>
      <w:r>
        <w:rPr>
          <w:rFonts w:ascii="Century Gothic" w:eastAsia="Times New Roman" w:hAnsi="Century Gothic"/>
          <w:lang w:val="es-ES"/>
        </w:rPr>
        <w:t xml:space="preserve">: día 15 de </w:t>
      </w:r>
      <w:r w:rsidR="00511B15">
        <w:rPr>
          <w:rFonts w:ascii="Century Gothic" w:eastAsia="Times New Roman" w:hAnsi="Century Gothic"/>
          <w:lang w:val="es-ES"/>
        </w:rPr>
        <w:t>octubre</w:t>
      </w:r>
      <w:r>
        <w:rPr>
          <w:rFonts w:ascii="Century Gothic" w:eastAsia="Times New Roman" w:hAnsi="Century Gothic"/>
          <w:lang w:val="es-ES"/>
        </w:rPr>
        <w:t xml:space="preserve"> de                                                                                                                                                           </w:t>
      </w:r>
    </w:p>
    <w:p w:rsidR="009E1D15" w:rsidRDefault="009E1D15" w:rsidP="009E1D15">
      <w:pPr>
        <w:spacing w:line="360" w:lineRule="auto"/>
        <w:ind w:left="720"/>
        <w:jc w:val="both"/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                                                     </w:t>
      </w:r>
      <w:r>
        <w:rPr>
          <w:rFonts w:ascii="Century Gothic" w:eastAsia="Times New Roman" w:hAnsi="Century Gothic"/>
          <w:lang w:val="es-ES"/>
        </w:rPr>
        <w:t xml:space="preserve">2016 Plaza de Armas              </w:t>
      </w:r>
    </w:p>
    <w:p w:rsidR="009E1D15" w:rsidRDefault="009E1D15" w:rsidP="009E1D15">
      <w:pPr>
        <w:spacing w:line="360" w:lineRule="auto"/>
        <w:ind w:left="4236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>Horario de presentación</w:t>
      </w:r>
      <w:r>
        <w:rPr>
          <w:rFonts w:ascii="Century Gothic" w:hAnsi="Century Gothic"/>
          <w:lang w:val="es-ES"/>
        </w:rPr>
        <w:t>: desde las 16:00 horas.</w:t>
      </w:r>
    </w:p>
    <w:p w:rsidR="00511B15" w:rsidRDefault="00511B15" w:rsidP="009E1D15">
      <w:pPr>
        <w:spacing w:line="360" w:lineRule="auto"/>
        <w:ind w:left="4236"/>
        <w:jc w:val="both"/>
        <w:rPr>
          <w:rFonts w:ascii="Century Gothic" w:hAnsi="Century Gothic"/>
          <w:lang w:val="es-ES"/>
        </w:rPr>
      </w:pPr>
    </w:p>
    <w:p w:rsidR="00E4114F" w:rsidRDefault="00E4114F" w:rsidP="009E1D15">
      <w:pPr>
        <w:spacing w:line="360" w:lineRule="auto"/>
        <w:ind w:left="4236"/>
        <w:jc w:val="both"/>
        <w:rPr>
          <w:rFonts w:ascii="Century Gothic" w:hAnsi="Century Gothic"/>
          <w:lang w:val="es-ES"/>
        </w:rPr>
      </w:pPr>
    </w:p>
    <w:p w:rsidR="00E4114F" w:rsidRDefault="00E4114F" w:rsidP="009E1D15">
      <w:pPr>
        <w:spacing w:line="360" w:lineRule="auto"/>
        <w:ind w:left="4236"/>
        <w:jc w:val="both"/>
        <w:rPr>
          <w:rFonts w:ascii="Century Gothic" w:hAnsi="Century Gothic"/>
          <w:lang w:val="es-ES"/>
        </w:rPr>
      </w:pPr>
    </w:p>
    <w:p w:rsidR="00E4114F" w:rsidRDefault="00E4114F" w:rsidP="009E1D15">
      <w:pPr>
        <w:spacing w:line="360" w:lineRule="auto"/>
        <w:ind w:left="4236"/>
        <w:jc w:val="both"/>
        <w:rPr>
          <w:rFonts w:ascii="Century Gothic" w:hAnsi="Century Gothic"/>
          <w:lang w:val="es-ES"/>
        </w:rPr>
      </w:pPr>
    </w:p>
    <w:p w:rsidR="00570927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bCs/>
          <w:lang w:val="es-ES"/>
        </w:rPr>
        <w:t xml:space="preserve"> M</w:t>
      </w:r>
      <w:r w:rsidR="00570927">
        <w:rPr>
          <w:rFonts w:ascii="Century Gothic" w:hAnsi="Century Gothic"/>
          <w:b/>
          <w:bCs/>
          <w:lang w:val="es-ES"/>
        </w:rPr>
        <w:t>ás informaciones:</w:t>
      </w:r>
      <w:r w:rsidR="00511B15">
        <w:rPr>
          <w:rFonts w:ascii="Century Gothic" w:hAnsi="Century Gothic"/>
          <w:b/>
          <w:bCs/>
          <w:lang w:val="es-ES"/>
        </w:rPr>
        <w:t xml:space="preserve"> </w:t>
      </w:r>
      <w:r w:rsidR="00511B15" w:rsidRPr="00511B15">
        <w:rPr>
          <w:rFonts w:ascii="Century Gothic" w:hAnsi="Century Gothic"/>
          <w:bCs/>
          <w:lang w:val="es-ES"/>
        </w:rPr>
        <w:t xml:space="preserve">Departamento </w:t>
      </w:r>
      <w:r w:rsidR="00511B15" w:rsidRPr="00511B15">
        <w:rPr>
          <w:rFonts w:ascii="Century Gothic" w:hAnsi="Century Gothic"/>
          <w:lang w:val="es-ES"/>
        </w:rPr>
        <w:t>de</w:t>
      </w:r>
      <w:r w:rsidR="00570927" w:rsidRPr="00511B15">
        <w:rPr>
          <w:rFonts w:ascii="Century Gothic" w:hAnsi="Century Gothic"/>
          <w:lang w:val="es-ES"/>
        </w:rPr>
        <w:t xml:space="preserve"> </w:t>
      </w:r>
      <w:r w:rsidR="00570927" w:rsidRPr="00D710F2">
        <w:rPr>
          <w:rFonts w:ascii="Century Gothic" w:hAnsi="Century Gothic"/>
          <w:b/>
          <w:lang w:val="es-ES"/>
        </w:rPr>
        <w:t>Organizaciones Comunitarias,</w:t>
      </w:r>
      <w:r w:rsidR="00570927" w:rsidRPr="00511B15">
        <w:rPr>
          <w:rFonts w:ascii="Century Gothic" w:hAnsi="Century Gothic"/>
          <w:lang w:val="es-ES"/>
        </w:rPr>
        <w:t xml:space="preserve"> ubicado en </w:t>
      </w:r>
      <w:r w:rsidR="008C3482" w:rsidRPr="00511B15">
        <w:rPr>
          <w:rFonts w:ascii="Century Gothic" w:hAnsi="Century Gothic"/>
          <w:lang w:val="es-ES"/>
        </w:rPr>
        <w:t>Plaza de Armas 570</w:t>
      </w:r>
      <w:r w:rsidR="00570927" w:rsidRPr="00511B15">
        <w:rPr>
          <w:rFonts w:ascii="Century Gothic" w:hAnsi="Century Gothic"/>
          <w:lang w:val="es-ES"/>
        </w:rPr>
        <w:t xml:space="preserve">, </w:t>
      </w:r>
      <w:r w:rsidR="00511B15" w:rsidRPr="00511B15">
        <w:rPr>
          <w:rFonts w:ascii="Century Gothic" w:hAnsi="Century Gothic"/>
          <w:lang w:val="es-ES"/>
        </w:rPr>
        <w:t>Melipilla</w:t>
      </w:r>
      <w:r w:rsidR="00511B15" w:rsidRPr="00511B15">
        <w:rPr>
          <w:rFonts w:ascii="Century Gothic" w:hAnsi="Century Gothic"/>
          <w:bCs/>
          <w:lang w:val="es-ES"/>
        </w:rPr>
        <w:t>.</w:t>
      </w:r>
      <w:r w:rsidR="00511B15" w:rsidRPr="00511B15">
        <w:rPr>
          <w:rFonts w:ascii="Century Gothic" w:hAnsi="Century Gothic"/>
          <w:lang w:val="es-ES"/>
        </w:rPr>
        <w:t xml:space="preserve"> Fonos</w:t>
      </w:r>
      <w:r w:rsidR="00570927" w:rsidRPr="00511B15">
        <w:rPr>
          <w:rFonts w:ascii="Century Gothic" w:hAnsi="Century Gothic"/>
          <w:lang w:val="es-ES"/>
        </w:rPr>
        <w:t xml:space="preserve">: 2- </w:t>
      </w:r>
      <w:r w:rsidR="00511B15" w:rsidRPr="00511B15">
        <w:rPr>
          <w:rFonts w:ascii="Century Gothic" w:hAnsi="Century Gothic"/>
          <w:lang w:val="es-ES"/>
        </w:rPr>
        <w:t>9007324.</w:t>
      </w: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091D39" w:rsidRDefault="00091D39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b/>
          <w:noProof/>
          <w:color w:val="5B9BD5" w:themeColor="accent1"/>
          <w:sz w:val="44"/>
        </w:rPr>
        <w:drawing>
          <wp:anchor distT="0" distB="0" distL="114300" distR="114300" simplePos="0" relativeHeight="251669504" behindDoc="0" locked="0" layoutInCell="1" allowOverlap="1" wp14:anchorId="508776DB" wp14:editId="77E77F6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0640" cy="570814"/>
            <wp:effectExtent l="0" t="0" r="381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munit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7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</w:p>
    <w:p w:rsidR="00E4114F" w:rsidRPr="00E4114F" w:rsidRDefault="00E4114F" w:rsidP="00E4114F">
      <w:pPr>
        <w:spacing w:line="360" w:lineRule="auto"/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E4114F">
        <w:rPr>
          <w:rFonts w:ascii="Century Gothic" w:hAnsi="Century Gothic"/>
          <w:b/>
          <w:sz w:val="28"/>
          <w:szCs w:val="28"/>
          <w:lang w:val="es-ES"/>
        </w:rPr>
        <w:t>Pauta de evaluación carros alegóricos</w:t>
      </w:r>
    </w:p>
    <w:p w:rsidR="00E4114F" w:rsidRPr="00E4114F" w:rsidRDefault="00E4114F" w:rsidP="00E4114F">
      <w:pPr>
        <w:spacing w:line="360" w:lineRule="auto"/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E4114F">
        <w:rPr>
          <w:rFonts w:ascii="Century Gothic" w:hAnsi="Century Gothic"/>
          <w:b/>
          <w:sz w:val="28"/>
          <w:szCs w:val="28"/>
          <w:lang w:val="es-ES"/>
        </w:rPr>
        <w:t>Melipilla</w:t>
      </w:r>
      <w:r>
        <w:rPr>
          <w:rFonts w:ascii="Century Gothic" w:hAnsi="Century Gothic"/>
          <w:b/>
          <w:sz w:val="28"/>
          <w:szCs w:val="28"/>
          <w:lang w:val="es-ES"/>
        </w:rPr>
        <w:t xml:space="preserve"> 15 de octubre de</w:t>
      </w:r>
      <w:r w:rsidRPr="00E4114F">
        <w:rPr>
          <w:rFonts w:ascii="Century Gothic" w:hAnsi="Century Gothic"/>
          <w:b/>
          <w:sz w:val="28"/>
          <w:szCs w:val="28"/>
          <w:lang w:val="es-ES"/>
        </w:rPr>
        <w:t xml:space="preserve"> 2016.</w:t>
      </w:r>
    </w:p>
    <w:p w:rsidR="00E4114F" w:rsidRDefault="00E4114F" w:rsidP="00570927">
      <w:p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 jurado evaluara y calificara de acuerdo a los siguientes conceptos, descritos en la pauta adjunta:</w:t>
      </w:r>
    </w:p>
    <w:tbl>
      <w:tblPr>
        <w:tblStyle w:val="Tablaconcuadrcul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3544"/>
        <w:gridCol w:w="2126"/>
        <w:gridCol w:w="993"/>
      </w:tblGrid>
      <w:tr w:rsidR="00E4114F" w:rsidTr="00E4114F">
        <w:tc>
          <w:tcPr>
            <w:tcW w:w="708" w:type="dxa"/>
            <w:shd w:val="clear" w:color="auto" w:fill="FFFFFF" w:themeFill="background1"/>
            <w:vAlign w:val="center"/>
          </w:tcPr>
          <w:p w:rsidR="00E4114F" w:rsidRPr="003C234E" w:rsidRDefault="00E4114F" w:rsidP="00DF22F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4114F" w:rsidRPr="00E4114F" w:rsidRDefault="00E4114F" w:rsidP="00DF22F4">
            <w:pPr>
              <w:jc w:val="center"/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>CRITERIOS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4114F" w:rsidRPr="00E4114F" w:rsidRDefault="00E4114F" w:rsidP="00DF22F4">
            <w:pPr>
              <w:jc w:val="center"/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>INDICADORES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114F" w:rsidRPr="00E4114F" w:rsidRDefault="00E4114F" w:rsidP="00DF22F4">
            <w:pPr>
              <w:jc w:val="center"/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>CALIFICACIÓN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114F" w:rsidRPr="00E4114F" w:rsidRDefault="00E4114F" w:rsidP="00DF22F4">
            <w:pPr>
              <w:jc w:val="center"/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>TOTAL</w:t>
            </w:r>
          </w:p>
        </w:tc>
      </w:tr>
      <w:tr w:rsidR="00E4114F" w:rsidTr="00E4114F">
        <w:trPr>
          <w:trHeight w:hRule="exact" w:val="567"/>
        </w:trPr>
        <w:tc>
          <w:tcPr>
            <w:tcW w:w="708" w:type="dxa"/>
            <w:vAlign w:val="center"/>
          </w:tcPr>
          <w:p w:rsidR="00E4114F" w:rsidRPr="003003B3" w:rsidRDefault="00E4114F" w:rsidP="00DF22F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</w:t>
            </w:r>
            <w:r w:rsidRPr="003003B3">
              <w:rPr>
                <w:b/>
                <w:sz w:val="18"/>
              </w:rPr>
              <w:t>%</w:t>
            </w:r>
          </w:p>
        </w:tc>
        <w:tc>
          <w:tcPr>
            <w:tcW w:w="1560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Participación</w:t>
            </w:r>
          </w:p>
        </w:tc>
        <w:tc>
          <w:tcPr>
            <w:tcW w:w="3544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 xml:space="preserve">Comparsa y/o cantidad de acompañantes </w:t>
            </w:r>
          </w:p>
        </w:tc>
        <w:tc>
          <w:tcPr>
            <w:tcW w:w="2126" w:type="dxa"/>
            <w:vAlign w:val="center"/>
          </w:tcPr>
          <w:p w:rsidR="00E4114F" w:rsidRPr="0033278B" w:rsidRDefault="00E4114F" w:rsidP="00DF22F4">
            <w:r w:rsidRPr="0033278B">
              <w:t>1-2-3-4-5-6-7</w:t>
            </w:r>
          </w:p>
        </w:tc>
        <w:tc>
          <w:tcPr>
            <w:tcW w:w="993" w:type="dxa"/>
          </w:tcPr>
          <w:p w:rsidR="00E4114F" w:rsidRDefault="00E4114F" w:rsidP="00DF22F4"/>
        </w:tc>
      </w:tr>
      <w:tr w:rsidR="00E4114F" w:rsidTr="00091D39">
        <w:trPr>
          <w:trHeight w:hRule="exact" w:val="1139"/>
        </w:trPr>
        <w:tc>
          <w:tcPr>
            <w:tcW w:w="708" w:type="dxa"/>
            <w:vAlign w:val="center"/>
          </w:tcPr>
          <w:p w:rsidR="00E4114F" w:rsidRPr="003003B3" w:rsidRDefault="00E4114F" w:rsidP="00DF22F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Pr="003003B3">
              <w:rPr>
                <w:b/>
                <w:sz w:val="18"/>
              </w:rPr>
              <w:t>%</w:t>
            </w:r>
          </w:p>
        </w:tc>
        <w:tc>
          <w:tcPr>
            <w:tcW w:w="1560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Creatividad y originalidad</w:t>
            </w:r>
          </w:p>
        </w:tc>
        <w:tc>
          <w:tcPr>
            <w:tcW w:w="3544" w:type="dxa"/>
            <w:vAlign w:val="center"/>
          </w:tcPr>
          <w:p w:rsidR="00E4114F" w:rsidRPr="00A0137B" w:rsidRDefault="00E4114F" w:rsidP="00091D39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La idea es original y diferente, presentada en forma creativa.</w:t>
            </w:r>
            <w:r w:rsidR="00091D39">
              <w:rPr>
                <w:b/>
                <w:sz w:val="22"/>
                <w:szCs w:val="22"/>
              </w:rPr>
              <w:t xml:space="preserve"> Se valorara a quienes hagan u</w:t>
            </w:r>
            <w:r w:rsidR="00091D39" w:rsidRPr="00A0137B">
              <w:rPr>
                <w:b/>
                <w:sz w:val="22"/>
                <w:szCs w:val="22"/>
              </w:rPr>
              <w:t>so de material reciclable</w:t>
            </w:r>
          </w:p>
        </w:tc>
        <w:tc>
          <w:tcPr>
            <w:tcW w:w="2126" w:type="dxa"/>
            <w:vAlign w:val="center"/>
          </w:tcPr>
          <w:p w:rsidR="00E4114F" w:rsidRPr="0033278B" w:rsidRDefault="00E4114F" w:rsidP="00DF22F4">
            <w:r w:rsidRPr="0033278B">
              <w:t>1-2-3-4-5-6-7</w:t>
            </w:r>
          </w:p>
        </w:tc>
        <w:tc>
          <w:tcPr>
            <w:tcW w:w="993" w:type="dxa"/>
          </w:tcPr>
          <w:p w:rsidR="00E4114F" w:rsidRDefault="00E4114F" w:rsidP="00DF22F4"/>
        </w:tc>
      </w:tr>
      <w:tr w:rsidR="00E4114F" w:rsidTr="00E4114F">
        <w:trPr>
          <w:trHeight w:hRule="exact" w:val="1106"/>
        </w:trPr>
        <w:tc>
          <w:tcPr>
            <w:tcW w:w="708" w:type="dxa"/>
            <w:vAlign w:val="center"/>
          </w:tcPr>
          <w:p w:rsidR="00E4114F" w:rsidRPr="003003B3" w:rsidRDefault="00E4114F" w:rsidP="00DF22F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Pr="003003B3">
              <w:rPr>
                <w:b/>
                <w:sz w:val="18"/>
              </w:rPr>
              <w:t>%</w:t>
            </w:r>
          </w:p>
        </w:tc>
        <w:tc>
          <w:tcPr>
            <w:tcW w:w="1560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Calidad de vestuarios y atuendos.</w:t>
            </w:r>
          </w:p>
        </w:tc>
        <w:tc>
          <w:tcPr>
            <w:tcW w:w="3544" w:type="dxa"/>
            <w:vAlign w:val="center"/>
          </w:tcPr>
          <w:p w:rsidR="00E4114F" w:rsidRPr="00A0137B" w:rsidRDefault="00E4114F" w:rsidP="00091D39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 xml:space="preserve">Caracterización, Accesorios, colorido, </w:t>
            </w:r>
            <w:r w:rsidR="00091D39">
              <w:rPr>
                <w:b/>
                <w:sz w:val="22"/>
                <w:szCs w:val="22"/>
              </w:rPr>
              <w:t xml:space="preserve">diseño y </w:t>
            </w:r>
            <w:r w:rsidRPr="00A0137B">
              <w:rPr>
                <w:b/>
                <w:sz w:val="22"/>
                <w:szCs w:val="22"/>
              </w:rPr>
              <w:t xml:space="preserve">en la confección del carro y sus detalles. </w:t>
            </w:r>
          </w:p>
        </w:tc>
        <w:tc>
          <w:tcPr>
            <w:tcW w:w="2126" w:type="dxa"/>
            <w:vAlign w:val="center"/>
          </w:tcPr>
          <w:p w:rsidR="00E4114F" w:rsidRPr="0033278B" w:rsidRDefault="00E4114F" w:rsidP="00DF22F4">
            <w:r w:rsidRPr="0033278B">
              <w:t>1-2-3-4-5-6-7</w:t>
            </w:r>
          </w:p>
        </w:tc>
        <w:tc>
          <w:tcPr>
            <w:tcW w:w="993" w:type="dxa"/>
          </w:tcPr>
          <w:p w:rsidR="00E4114F" w:rsidRDefault="00E4114F" w:rsidP="00DF22F4"/>
        </w:tc>
      </w:tr>
      <w:tr w:rsidR="00E4114F" w:rsidTr="00E4114F">
        <w:trPr>
          <w:trHeight w:hRule="exact" w:val="575"/>
        </w:trPr>
        <w:tc>
          <w:tcPr>
            <w:tcW w:w="708" w:type="dxa"/>
            <w:vAlign w:val="center"/>
          </w:tcPr>
          <w:p w:rsidR="00E4114F" w:rsidRPr="003003B3" w:rsidRDefault="00E4114F" w:rsidP="00DF22F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Pr="003003B3">
              <w:rPr>
                <w:b/>
                <w:sz w:val="18"/>
              </w:rPr>
              <w:t>%</w:t>
            </w:r>
          </w:p>
        </w:tc>
        <w:tc>
          <w:tcPr>
            <w:tcW w:w="1560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Impacto visual positivo.</w:t>
            </w:r>
          </w:p>
        </w:tc>
        <w:tc>
          <w:tcPr>
            <w:tcW w:w="3544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Atracción, despliegue de color, luces, etc.</w:t>
            </w:r>
          </w:p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</w:p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4114F" w:rsidRPr="0033278B" w:rsidRDefault="00E4114F" w:rsidP="00DF22F4">
            <w:r w:rsidRPr="0033278B">
              <w:t>1-2-3-4-5-6-7</w:t>
            </w:r>
          </w:p>
        </w:tc>
        <w:tc>
          <w:tcPr>
            <w:tcW w:w="993" w:type="dxa"/>
          </w:tcPr>
          <w:p w:rsidR="00E4114F" w:rsidRDefault="00E4114F" w:rsidP="00DF22F4"/>
        </w:tc>
      </w:tr>
      <w:tr w:rsidR="00E4114F" w:rsidTr="00E4114F">
        <w:trPr>
          <w:trHeight w:hRule="exact" w:val="731"/>
        </w:trPr>
        <w:tc>
          <w:tcPr>
            <w:tcW w:w="708" w:type="dxa"/>
            <w:vAlign w:val="center"/>
          </w:tcPr>
          <w:p w:rsidR="00E4114F" w:rsidRPr="003003B3" w:rsidRDefault="00E4114F" w:rsidP="00DF22F4">
            <w:pPr>
              <w:rPr>
                <w:b/>
                <w:sz w:val="18"/>
              </w:rPr>
            </w:pPr>
            <w:r w:rsidRPr="003003B3">
              <w:rPr>
                <w:b/>
                <w:sz w:val="18"/>
              </w:rPr>
              <w:t>10%</w:t>
            </w:r>
          </w:p>
        </w:tc>
        <w:tc>
          <w:tcPr>
            <w:tcW w:w="1560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Coordinación con el desfile.</w:t>
            </w:r>
          </w:p>
        </w:tc>
        <w:tc>
          <w:tcPr>
            <w:tcW w:w="3544" w:type="dxa"/>
            <w:vAlign w:val="center"/>
          </w:tcPr>
          <w:p w:rsidR="00E4114F" w:rsidRPr="00A0137B" w:rsidRDefault="00E4114F" w:rsidP="00091D39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Sincronización, respeta normas y tiempos de ejecución.</w:t>
            </w:r>
          </w:p>
        </w:tc>
        <w:tc>
          <w:tcPr>
            <w:tcW w:w="2126" w:type="dxa"/>
            <w:vAlign w:val="center"/>
          </w:tcPr>
          <w:p w:rsidR="00E4114F" w:rsidRPr="0033278B" w:rsidRDefault="00E4114F" w:rsidP="00DF22F4">
            <w:r w:rsidRPr="0033278B">
              <w:t>1-2-3-4-5-6-7</w:t>
            </w:r>
          </w:p>
        </w:tc>
        <w:tc>
          <w:tcPr>
            <w:tcW w:w="993" w:type="dxa"/>
          </w:tcPr>
          <w:p w:rsidR="00E4114F" w:rsidRDefault="00E4114F" w:rsidP="00DF22F4"/>
        </w:tc>
      </w:tr>
      <w:tr w:rsidR="00E4114F" w:rsidTr="00E4114F">
        <w:trPr>
          <w:trHeight w:hRule="exact" w:val="713"/>
        </w:trPr>
        <w:tc>
          <w:tcPr>
            <w:tcW w:w="708" w:type="dxa"/>
            <w:vAlign w:val="center"/>
          </w:tcPr>
          <w:p w:rsidR="00E4114F" w:rsidRPr="003003B3" w:rsidRDefault="00E4114F" w:rsidP="00DF22F4">
            <w:pPr>
              <w:rPr>
                <w:b/>
                <w:sz w:val="18"/>
              </w:rPr>
            </w:pPr>
            <w:r w:rsidRPr="003003B3">
              <w:rPr>
                <w:b/>
                <w:sz w:val="18"/>
              </w:rPr>
              <w:t>10%</w:t>
            </w:r>
          </w:p>
        </w:tc>
        <w:tc>
          <w:tcPr>
            <w:tcW w:w="1560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>Musicalización</w:t>
            </w:r>
          </w:p>
        </w:tc>
        <w:tc>
          <w:tcPr>
            <w:tcW w:w="3544" w:type="dxa"/>
            <w:vAlign w:val="center"/>
          </w:tcPr>
          <w:p w:rsidR="00E4114F" w:rsidRPr="00A0137B" w:rsidRDefault="00E4114F" w:rsidP="00DF22F4">
            <w:pPr>
              <w:rPr>
                <w:b/>
                <w:sz w:val="22"/>
                <w:szCs w:val="22"/>
              </w:rPr>
            </w:pPr>
            <w:r w:rsidRPr="00A0137B">
              <w:rPr>
                <w:b/>
                <w:sz w:val="22"/>
                <w:szCs w:val="22"/>
              </w:rPr>
              <w:t xml:space="preserve">Se acompaña con tema musical </w:t>
            </w:r>
            <w:r w:rsidRPr="00E4114F">
              <w:rPr>
                <w:b/>
                <w:sz w:val="22"/>
                <w:szCs w:val="22"/>
              </w:rPr>
              <w:t>acorde</w:t>
            </w:r>
            <w:r w:rsidRPr="00A0137B">
              <w:rPr>
                <w:b/>
                <w:sz w:val="22"/>
                <w:szCs w:val="22"/>
              </w:rPr>
              <w:t xml:space="preserve"> a temática, sincronización.</w:t>
            </w:r>
          </w:p>
        </w:tc>
        <w:tc>
          <w:tcPr>
            <w:tcW w:w="2126" w:type="dxa"/>
            <w:vAlign w:val="center"/>
          </w:tcPr>
          <w:p w:rsidR="00E4114F" w:rsidRPr="0033278B" w:rsidRDefault="00E4114F" w:rsidP="00DF22F4">
            <w:r w:rsidRPr="0033278B">
              <w:t>1-2-3-4-5-6-7</w:t>
            </w:r>
          </w:p>
        </w:tc>
        <w:tc>
          <w:tcPr>
            <w:tcW w:w="993" w:type="dxa"/>
          </w:tcPr>
          <w:p w:rsidR="00E4114F" w:rsidRDefault="00E4114F" w:rsidP="00DF22F4"/>
        </w:tc>
      </w:tr>
      <w:tr w:rsidR="00E4114F" w:rsidTr="00E4114F">
        <w:trPr>
          <w:trHeight w:hRule="exact" w:val="699"/>
        </w:trPr>
        <w:tc>
          <w:tcPr>
            <w:tcW w:w="7938" w:type="dxa"/>
            <w:gridSpan w:val="4"/>
            <w:shd w:val="clear" w:color="auto" w:fill="FFFFFF" w:themeFill="background1"/>
            <w:vAlign w:val="bottom"/>
          </w:tcPr>
          <w:p w:rsidR="00E4114F" w:rsidRPr="00E4114F" w:rsidRDefault="00E4114F" w:rsidP="00DF22F4">
            <w:pPr>
              <w:jc w:val="right"/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>PUNTAJE TOTAL OBTENIDO</w:t>
            </w:r>
          </w:p>
        </w:tc>
        <w:tc>
          <w:tcPr>
            <w:tcW w:w="993" w:type="dxa"/>
          </w:tcPr>
          <w:p w:rsidR="00E4114F" w:rsidRPr="00E4114F" w:rsidRDefault="00E4114F" w:rsidP="00DF22F4">
            <w:pPr>
              <w:rPr>
                <w:sz w:val="22"/>
                <w:szCs w:val="22"/>
              </w:rPr>
            </w:pPr>
          </w:p>
        </w:tc>
      </w:tr>
      <w:tr w:rsidR="00E4114F" w:rsidTr="00091D39">
        <w:trPr>
          <w:trHeight w:hRule="exact" w:val="855"/>
        </w:trPr>
        <w:tc>
          <w:tcPr>
            <w:tcW w:w="8931" w:type="dxa"/>
            <w:gridSpan w:val="5"/>
          </w:tcPr>
          <w:p w:rsidR="00E4114F" w:rsidRPr="00E4114F" w:rsidRDefault="00E4114F" w:rsidP="00DF22F4">
            <w:pPr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>OBSERVACIONES:</w:t>
            </w:r>
          </w:p>
          <w:p w:rsidR="00E4114F" w:rsidRPr="00E4114F" w:rsidRDefault="00E4114F" w:rsidP="00DF22F4">
            <w:pPr>
              <w:rPr>
                <w:b/>
                <w:sz w:val="22"/>
                <w:szCs w:val="22"/>
              </w:rPr>
            </w:pPr>
          </w:p>
          <w:p w:rsidR="00E4114F" w:rsidRPr="00E4114F" w:rsidRDefault="00E4114F" w:rsidP="00DF22F4">
            <w:pPr>
              <w:rPr>
                <w:b/>
                <w:sz w:val="22"/>
                <w:szCs w:val="22"/>
              </w:rPr>
            </w:pPr>
          </w:p>
          <w:p w:rsidR="00E4114F" w:rsidRPr="00E4114F" w:rsidRDefault="00E4114F" w:rsidP="00DF22F4">
            <w:pPr>
              <w:rPr>
                <w:b/>
                <w:sz w:val="22"/>
                <w:szCs w:val="22"/>
              </w:rPr>
            </w:pPr>
          </w:p>
          <w:p w:rsidR="00E4114F" w:rsidRPr="00E4114F" w:rsidRDefault="00E4114F" w:rsidP="00DF22F4">
            <w:pPr>
              <w:rPr>
                <w:b/>
                <w:sz w:val="22"/>
                <w:szCs w:val="22"/>
              </w:rPr>
            </w:pPr>
          </w:p>
        </w:tc>
      </w:tr>
      <w:tr w:rsidR="00E4114F" w:rsidTr="00091D39">
        <w:trPr>
          <w:trHeight w:hRule="exact" w:val="708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E4114F" w:rsidRPr="00E4114F" w:rsidRDefault="00E4114F" w:rsidP="00E4114F">
            <w:pPr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 xml:space="preserve">NOMBRE </w:t>
            </w:r>
            <w:r>
              <w:rPr>
                <w:b/>
                <w:sz w:val="22"/>
                <w:szCs w:val="22"/>
              </w:rPr>
              <w:t>J</w:t>
            </w:r>
            <w:r w:rsidRPr="00E4114F">
              <w:rPr>
                <w:b/>
                <w:sz w:val="22"/>
                <w:szCs w:val="22"/>
              </w:rPr>
              <w:t>URADO</w:t>
            </w:r>
          </w:p>
        </w:tc>
        <w:tc>
          <w:tcPr>
            <w:tcW w:w="6663" w:type="dxa"/>
            <w:gridSpan w:val="3"/>
          </w:tcPr>
          <w:p w:rsidR="00E4114F" w:rsidRDefault="00E4114F" w:rsidP="00DF22F4"/>
        </w:tc>
      </w:tr>
      <w:tr w:rsidR="00E4114F" w:rsidTr="00E4114F">
        <w:trPr>
          <w:trHeight w:hRule="exact" w:val="877"/>
        </w:trPr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E4114F" w:rsidRPr="00E4114F" w:rsidRDefault="00E4114F" w:rsidP="00DF22F4">
            <w:pPr>
              <w:jc w:val="right"/>
              <w:rPr>
                <w:b/>
                <w:sz w:val="22"/>
                <w:szCs w:val="22"/>
              </w:rPr>
            </w:pPr>
            <w:r w:rsidRPr="00E4114F">
              <w:rPr>
                <w:b/>
                <w:sz w:val="22"/>
                <w:szCs w:val="22"/>
              </w:rPr>
              <w:t>FIRMA</w:t>
            </w:r>
            <w:r>
              <w:rPr>
                <w:b/>
                <w:sz w:val="22"/>
                <w:szCs w:val="22"/>
              </w:rPr>
              <w:t xml:space="preserve"> JURADO</w:t>
            </w:r>
          </w:p>
        </w:tc>
        <w:tc>
          <w:tcPr>
            <w:tcW w:w="6663" w:type="dxa"/>
            <w:gridSpan w:val="3"/>
          </w:tcPr>
          <w:p w:rsidR="00E4114F" w:rsidRDefault="00E4114F" w:rsidP="00DF22F4"/>
        </w:tc>
      </w:tr>
    </w:tbl>
    <w:p w:rsidR="00907413" w:rsidRPr="00570927" w:rsidRDefault="00907413" w:rsidP="00E4114F">
      <w:pPr>
        <w:rPr>
          <w:lang w:val="es-ES"/>
        </w:rPr>
      </w:pPr>
    </w:p>
    <w:sectPr w:rsidR="00907413" w:rsidRPr="00570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3C88"/>
    <w:multiLevelType w:val="hybridMultilevel"/>
    <w:tmpl w:val="FC40E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F03DF"/>
    <w:multiLevelType w:val="hybridMultilevel"/>
    <w:tmpl w:val="4BB00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22CD6"/>
    <w:multiLevelType w:val="hybridMultilevel"/>
    <w:tmpl w:val="B83096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F6D61"/>
    <w:multiLevelType w:val="hybridMultilevel"/>
    <w:tmpl w:val="ECF4DD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7"/>
    <w:rsid w:val="00071B37"/>
    <w:rsid w:val="00091D39"/>
    <w:rsid w:val="000E4D8D"/>
    <w:rsid w:val="001448AA"/>
    <w:rsid w:val="003967E5"/>
    <w:rsid w:val="00511B15"/>
    <w:rsid w:val="00557913"/>
    <w:rsid w:val="00570927"/>
    <w:rsid w:val="00634571"/>
    <w:rsid w:val="008C3482"/>
    <w:rsid w:val="008D3D9E"/>
    <w:rsid w:val="00907413"/>
    <w:rsid w:val="00951036"/>
    <w:rsid w:val="009E1D15"/>
    <w:rsid w:val="00A0137B"/>
    <w:rsid w:val="00A134AF"/>
    <w:rsid w:val="00BA79F4"/>
    <w:rsid w:val="00BF6FBD"/>
    <w:rsid w:val="00D710F2"/>
    <w:rsid w:val="00E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657FF92A"/>
  <w15:chartTrackingRefBased/>
  <w15:docId w15:val="{B889E928-5F27-47AB-8792-043D186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27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0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0F2"/>
    <w:rPr>
      <w:rFonts w:ascii="Segoe U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F35B-AFFE-4E44-A5E5-D900BD89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Martínez Ahumada</dc:creator>
  <cp:keywords/>
  <dc:description/>
  <cp:lastModifiedBy>Jorge Martínez Ahumada</cp:lastModifiedBy>
  <cp:revision>10</cp:revision>
  <cp:lastPrinted>2016-10-03T19:51:00Z</cp:lastPrinted>
  <dcterms:created xsi:type="dcterms:W3CDTF">2016-09-27T15:15:00Z</dcterms:created>
  <dcterms:modified xsi:type="dcterms:W3CDTF">2016-10-03T22:04:00Z</dcterms:modified>
</cp:coreProperties>
</file>